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4B2" w:rsidRPr="008D64B2" w:rsidRDefault="008D64B2" w:rsidP="008D64B2">
      <w:pPr>
        <w:spacing w:before="100" w:beforeAutospacing="1" w:after="100" w:afterAutospacing="1" w:line="240" w:lineRule="auto"/>
        <w:outlineLvl w:val="0"/>
        <w:rPr>
          <w:rFonts w:eastAsia="Times New Roman"/>
          <w:b/>
          <w:bCs/>
          <w:kern w:val="36"/>
          <w:sz w:val="48"/>
          <w:szCs w:val="48"/>
          <w:lang w:eastAsia="es-ES"/>
        </w:rPr>
      </w:pPr>
      <w:r w:rsidRPr="008D64B2">
        <w:rPr>
          <w:rFonts w:eastAsia="Times New Roman"/>
          <w:b/>
          <w:bCs/>
          <w:kern w:val="36"/>
          <w:sz w:val="48"/>
          <w:szCs w:val="48"/>
          <w:lang w:eastAsia="es-ES"/>
        </w:rPr>
        <w:t>Nota informativa</w:t>
      </w:r>
    </w:p>
    <w:p w:rsidR="008D64B2" w:rsidRPr="008D64B2" w:rsidRDefault="008D64B2" w:rsidP="008D64B2">
      <w:pPr>
        <w:spacing w:after="0" w:line="240" w:lineRule="auto"/>
        <w:jc w:val="center"/>
        <w:rPr>
          <w:rFonts w:eastAsia="Times New Roman"/>
          <w:szCs w:val="24"/>
          <w:lang w:eastAsia="es-ES"/>
        </w:rPr>
      </w:pPr>
      <w:r w:rsidRPr="008D64B2">
        <w:rPr>
          <w:rFonts w:eastAsia="Times New Roman"/>
          <w:b/>
          <w:bCs/>
          <w:szCs w:val="24"/>
          <w:u w:val="single"/>
          <w:lang w:eastAsia="es-ES"/>
        </w:rPr>
        <w:t xml:space="preserve">NOTA </w:t>
      </w:r>
      <w:proofErr w:type="gramStart"/>
      <w:r w:rsidRPr="008D64B2">
        <w:rPr>
          <w:rFonts w:eastAsia="Times New Roman"/>
          <w:b/>
          <w:bCs/>
          <w:szCs w:val="24"/>
          <w:u w:val="single"/>
          <w:lang w:eastAsia="es-ES"/>
        </w:rPr>
        <w:t>INFORMATIVA  SOBRE</w:t>
      </w:r>
      <w:proofErr w:type="gramEnd"/>
      <w:r w:rsidRPr="008D64B2">
        <w:rPr>
          <w:rFonts w:eastAsia="Times New Roman"/>
          <w:b/>
          <w:bCs/>
          <w:szCs w:val="24"/>
          <w:u w:val="single"/>
          <w:lang w:eastAsia="es-ES"/>
        </w:rPr>
        <w:t>  LA ENTRADA EN</w:t>
      </w:r>
    </w:p>
    <w:p w:rsidR="008D64B2" w:rsidRPr="008D64B2" w:rsidRDefault="008D64B2" w:rsidP="008D64B2">
      <w:pPr>
        <w:spacing w:after="0" w:line="240" w:lineRule="auto"/>
        <w:jc w:val="center"/>
        <w:rPr>
          <w:rFonts w:eastAsia="Times New Roman"/>
          <w:szCs w:val="24"/>
          <w:lang w:eastAsia="es-ES"/>
        </w:rPr>
      </w:pPr>
      <w:r w:rsidRPr="008D64B2">
        <w:rPr>
          <w:rFonts w:eastAsia="Times New Roman"/>
          <w:b/>
          <w:bCs/>
          <w:szCs w:val="24"/>
          <w:u w:val="single"/>
          <w:lang w:eastAsia="es-ES"/>
        </w:rPr>
        <w:t>VIGOR DE LA NUEVA TASA JUDICIAL</w:t>
      </w:r>
    </w:p>
    <w:p w:rsidR="008D64B2" w:rsidRP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szCs w:val="24"/>
          <w:lang w:eastAsia="es-ES"/>
        </w:rPr>
        <w:t xml:space="preserve">El día 17 de diciembre comenzó la aplicación efectiva de la nueva tasa judicial al haberse publicado en el Boletín Oficial del </w:t>
      </w:r>
      <w:proofErr w:type="gramStart"/>
      <w:r w:rsidRPr="008D64B2">
        <w:rPr>
          <w:rFonts w:eastAsia="Times New Roman"/>
          <w:szCs w:val="24"/>
          <w:lang w:eastAsia="es-ES"/>
        </w:rPr>
        <w:t>Estado  y</w:t>
      </w:r>
      <w:proofErr w:type="gramEnd"/>
      <w:r w:rsidRPr="008D64B2">
        <w:rPr>
          <w:rFonts w:eastAsia="Times New Roman"/>
          <w:szCs w:val="24"/>
          <w:lang w:eastAsia="es-ES"/>
        </w:rPr>
        <w:t xml:space="preserve"> entrado en vigor la Orden ministerial que regula el formulario (modelo 696) para su presentación y pago. Con posterioridad se ha visto modificada la normativa reguladora de la misma con efectos a partir del 24 de febrero de 2013.</w:t>
      </w:r>
    </w:p>
    <w:p w:rsidR="008D64B2" w:rsidRP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szCs w:val="24"/>
          <w:lang w:eastAsia="es-ES"/>
        </w:rPr>
        <w:t xml:space="preserve">El citado formulario, al no consistir en el tradicional papel </w:t>
      </w:r>
      <w:proofErr w:type="spellStart"/>
      <w:r w:rsidRPr="008D64B2">
        <w:rPr>
          <w:rFonts w:eastAsia="Times New Roman"/>
          <w:szCs w:val="24"/>
          <w:lang w:eastAsia="es-ES"/>
        </w:rPr>
        <w:t>preimpreso</w:t>
      </w:r>
      <w:proofErr w:type="spellEnd"/>
      <w:r w:rsidRPr="008D64B2">
        <w:rPr>
          <w:rFonts w:eastAsia="Times New Roman"/>
          <w:szCs w:val="24"/>
          <w:lang w:eastAsia="es-ES"/>
        </w:rPr>
        <w:t>, no se puede obtener en estancos, Delegaciones o Administraciones de la Agencia Tributaria ni en las Oficinas judiciales, por lo que solo estará disponible en Internet.</w:t>
      </w:r>
    </w:p>
    <w:p w:rsidR="008D64B2" w:rsidRP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szCs w:val="24"/>
          <w:lang w:eastAsia="es-ES"/>
        </w:rPr>
        <w:t xml:space="preserve">No deben cumplimentar el formulario los que se encuentren exentos del pago de la tasa, </w:t>
      </w:r>
      <w:proofErr w:type="gramStart"/>
      <w:r w:rsidRPr="008D64B2">
        <w:rPr>
          <w:rFonts w:eastAsia="Times New Roman"/>
          <w:szCs w:val="24"/>
          <w:lang w:eastAsia="es-ES"/>
        </w:rPr>
        <w:t>como</w:t>
      </w:r>
      <w:proofErr w:type="gramEnd"/>
      <w:r w:rsidRPr="008D64B2">
        <w:rPr>
          <w:rFonts w:eastAsia="Times New Roman"/>
          <w:szCs w:val="24"/>
          <w:lang w:eastAsia="es-ES"/>
        </w:rPr>
        <w:t xml:space="preserve"> por ejemplo, entre otros, las personas a las que se haya reconocido el derecho a la asistencia jurídica gratuita o los incursos en procesos referentes a la capacidad, filiación y menores, así como en procesos matrimoniales que versen exclusivamente sobre guarda y custodia de hijos o sobre alimentos reclamados de un progenitor frente al otro en nombre de los hijos menores.</w:t>
      </w:r>
    </w:p>
    <w:p w:rsidR="008D64B2" w:rsidRP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b/>
          <w:bCs/>
          <w:szCs w:val="24"/>
          <w:lang w:eastAsia="es-ES"/>
        </w:rPr>
        <w:t xml:space="preserve">La presentación y pago de la tasa </w:t>
      </w:r>
      <w:proofErr w:type="gramStart"/>
      <w:r w:rsidRPr="008D64B2">
        <w:rPr>
          <w:rFonts w:eastAsia="Times New Roman"/>
          <w:b/>
          <w:bCs/>
          <w:szCs w:val="24"/>
          <w:lang w:eastAsia="es-ES"/>
        </w:rPr>
        <w:t>judicial  se</w:t>
      </w:r>
      <w:proofErr w:type="gramEnd"/>
      <w:r w:rsidRPr="008D64B2">
        <w:rPr>
          <w:rFonts w:eastAsia="Times New Roman"/>
          <w:b/>
          <w:bCs/>
          <w:szCs w:val="24"/>
          <w:lang w:eastAsia="es-ES"/>
        </w:rPr>
        <w:t xml:space="preserve"> efectúa de la siguiente forma:</w:t>
      </w:r>
    </w:p>
    <w:p w:rsidR="008D64B2" w:rsidRPr="008D64B2" w:rsidRDefault="008D64B2" w:rsidP="008D64B2">
      <w:pPr>
        <w:numPr>
          <w:ilvl w:val="0"/>
          <w:numId w:val="1"/>
        </w:numPr>
        <w:spacing w:before="100" w:beforeAutospacing="1" w:after="100" w:afterAutospacing="1" w:line="240" w:lineRule="auto"/>
        <w:rPr>
          <w:rFonts w:eastAsia="Times New Roman"/>
          <w:szCs w:val="24"/>
          <w:lang w:eastAsia="es-ES"/>
        </w:rPr>
      </w:pPr>
      <w:r w:rsidRPr="008D64B2">
        <w:rPr>
          <w:rFonts w:eastAsia="Times New Roman"/>
          <w:szCs w:val="24"/>
          <w:lang w:eastAsia="es-ES"/>
        </w:rPr>
        <w:t xml:space="preserve">Para grandes empresas, así como para todas </w:t>
      </w:r>
      <w:proofErr w:type="gramStart"/>
      <w:r w:rsidRPr="008D64B2">
        <w:rPr>
          <w:rFonts w:eastAsia="Times New Roman"/>
          <w:szCs w:val="24"/>
          <w:lang w:eastAsia="es-ES"/>
        </w:rPr>
        <w:t>las  sociedades</w:t>
      </w:r>
      <w:proofErr w:type="gramEnd"/>
      <w:r w:rsidRPr="008D64B2">
        <w:rPr>
          <w:rFonts w:eastAsia="Times New Roman"/>
          <w:szCs w:val="24"/>
          <w:lang w:eastAsia="es-ES"/>
        </w:rPr>
        <w:t xml:space="preserve"> anónimas y limitadas, la presentación se realiza de la forma en la que se efectúan las demás autoliquidaciones tributarias, es decir, presentación  telemática por Internet y pago electrónico mediante cargo en cuenta o tarjeta. Requiere estar en posesión de un certificado electrónico que acredite la identidad.</w:t>
      </w:r>
      <w:r w:rsidRPr="008D64B2">
        <w:rPr>
          <w:rFonts w:eastAsia="Times New Roman"/>
          <w:szCs w:val="24"/>
          <w:lang w:eastAsia="es-ES"/>
        </w:rPr>
        <w:br/>
        <w:t>La presentación telemática también la puede efectuar un colaborador social de la Administración Tributaria (colectivos de asesores, gestores…).</w:t>
      </w:r>
    </w:p>
    <w:p w:rsidR="008D64B2" w:rsidRPr="008D64B2" w:rsidRDefault="008D64B2" w:rsidP="008D64B2">
      <w:pPr>
        <w:spacing w:before="100" w:beforeAutospacing="1" w:after="100" w:afterAutospacing="1" w:line="240" w:lineRule="auto"/>
        <w:ind w:left="720"/>
        <w:rPr>
          <w:rFonts w:eastAsia="Times New Roman"/>
          <w:szCs w:val="24"/>
          <w:lang w:eastAsia="es-ES"/>
        </w:rPr>
      </w:pPr>
      <w:r w:rsidRPr="008D64B2">
        <w:rPr>
          <w:rFonts w:eastAsia="Times New Roman"/>
          <w:szCs w:val="24"/>
          <w:lang w:eastAsia="es-ES"/>
        </w:rPr>
        <w:t>Una vez realizado el proceso, además de obtenerse un recibo que justifica su presentación y pago, se facilita un código seguro de verificación (CSV) que permite visualizar en la sede electrónica de la Agencia Tributaria la declaración presentada.</w:t>
      </w:r>
    </w:p>
    <w:p w:rsidR="008D64B2" w:rsidRPr="008D64B2" w:rsidRDefault="008D64B2" w:rsidP="008D64B2">
      <w:pPr>
        <w:numPr>
          <w:ilvl w:val="0"/>
          <w:numId w:val="1"/>
        </w:numPr>
        <w:spacing w:before="100" w:beforeAutospacing="1" w:after="100" w:afterAutospacing="1" w:line="240" w:lineRule="auto"/>
        <w:rPr>
          <w:rFonts w:eastAsia="Times New Roman"/>
          <w:szCs w:val="24"/>
          <w:lang w:eastAsia="es-ES"/>
        </w:rPr>
      </w:pPr>
      <w:r w:rsidRPr="008D64B2">
        <w:rPr>
          <w:rFonts w:eastAsia="Times New Roman"/>
          <w:szCs w:val="24"/>
          <w:lang w:eastAsia="es-ES"/>
        </w:rPr>
        <w:t>Para el resto de contribuyentes (personas físicas o entidades que no sean sociedades anónimas  limitadas), además de la presentación telemática por Internet, se ha habilitado un formulario disponible en la página web de la Agencia Tributaria y que se obtiene sin necesidad de certificado electrónico, solo con tener una conexión a Internet.</w:t>
      </w:r>
      <w:r w:rsidRPr="008D64B2">
        <w:rPr>
          <w:rFonts w:eastAsia="Times New Roman"/>
          <w:szCs w:val="24"/>
          <w:lang w:eastAsia="es-ES"/>
        </w:rPr>
        <w:br/>
        <w:t>Una vez cumplimentado  correctamente, se obtienen 3 ejemplares  impresos  de  la autoliquidación que se deben llevar a la entidad financiera  colaboradora (banco o caja de ahorros) para efectuar el ingreso.</w:t>
      </w:r>
      <w:r w:rsidRPr="008D64B2">
        <w:rPr>
          <w:rFonts w:eastAsia="Times New Roman"/>
          <w:szCs w:val="24"/>
          <w:lang w:eastAsia="es-ES"/>
        </w:rPr>
        <w:br/>
        <w:t>Tras la realización del ingreso, se devuelven 2 de los 3 ejemplares (el ejemplar del sujeto pasivo y el de la Administración de Justicia), con el ingreso debidamente validado.</w:t>
      </w:r>
    </w:p>
    <w:p w:rsidR="008D64B2" w:rsidRP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szCs w:val="24"/>
          <w:lang w:eastAsia="es-ES"/>
        </w:rPr>
        <w:lastRenderedPageBreak/>
        <w:t>El importe de la tasa no se podrá aplazar, fraccionar o compensar.</w:t>
      </w:r>
    </w:p>
    <w:p w:rsidR="008D64B2" w:rsidRP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szCs w:val="24"/>
          <w:lang w:eastAsia="es-ES"/>
        </w:rPr>
        <w:t>Además, el pago, una vez efectuado, solo se podrá anular si se obtiene una previa autorización de la Agencia Tributaria.</w:t>
      </w:r>
    </w:p>
    <w:p w:rsidR="008D64B2" w:rsidRPr="008D64B2" w:rsidRDefault="008D64B2" w:rsidP="008D64B2">
      <w:pPr>
        <w:spacing w:before="100" w:beforeAutospacing="1" w:after="100" w:afterAutospacing="1" w:line="240" w:lineRule="auto"/>
        <w:rPr>
          <w:rFonts w:eastAsia="Times New Roman"/>
          <w:szCs w:val="24"/>
          <w:lang w:eastAsia="es-ES"/>
        </w:rPr>
      </w:pPr>
      <w:proofErr w:type="gramStart"/>
      <w:r w:rsidRPr="008D64B2">
        <w:rPr>
          <w:rFonts w:eastAsia="Times New Roman"/>
          <w:szCs w:val="24"/>
          <w:lang w:eastAsia="es-ES"/>
        </w:rPr>
        <w:t>Como  último</w:t>
      </w:r>
      <w:proofErr w:type="gramEnd"/>
      <w:r w:rsidRPr="008D64B2">
        <w:rPr>
          <w:rFonts w:eastAsia="Times New Roman"/>
          <w:szCs w:val="24"/>
          <w:lang w:eastAsia="es-ES"/>
        </w:rPr>
        <w:t xml:space="preserve"> trámite, se deberá aportar a la oficina judicial el recibo que justifica su presentación y pago telemático o el ejemplar impreso para la Administración de Justicia con el ingreso debidamente validado.</w:t>
      </w:r>
    </w:p>
    <w:p w:rsid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szCs w:val="24"/>
          <w:lang w:eastAsia="es-ES"/>
        </w:rPr>
        <w:t>Hay que destacar, por último, que debido a la necesidad de los Tribunales de Justicia  de establecer una adecuada interconexión informática con la Agencia Tributaria, se ha aplazado hasta el 1 de junio de 2013 la entrada en vigor de las comunicaciones electrónicas entre ambos organismos así como la fecha de inicio de las posibles solicitudes de devolución que pudieran producirse como consecuencia de la acumulación o de la resolución extrajudicial de procesos (solicitudes de devolución a través del modelo 695).</w:t>
      </w:r>
    </w:p>
    <w:p w:rsidR="008D64B2" w:rsidRDefault="008D64B2" w:rsidP="008D64B2">
      <w:pPr>
        <w:spacing w:before="100" w:beforeAutospacing="1" w:after="100" w:afterAutospacing="1" w:line="240" w:lineRule="auto"/>
        <w:rPr>
          <w:rFonts w:eastAsia="Times New Roman"/>
          <w:szCs w:val="24"/>
          <w:lang w:eastAsia="es-ES"/>
        </w:rPr>
      </w:pPr>
      <w:bookmarkStart w:id="0" w:name="_GoBack"/>
      <w:r>
        <w:rPr>
          <w:rFonts w:eastAsia="Times New Roman"/>
          <w:szCs w:val="24"/>
          <w:lang w:eastAsia="es-ES"/>
        </w:rPr>
        <w:t>Fraccionamiento</w:t>
      </w:r>
    </w:p>
    <w:bookmarkEnd w:id="0"/>
    <w:p w:rsidR="008D64B2" w:rsidRPr="008D64B2" w:rsidRDefault="008D64B2" w:rsidP="008D64B2">
      <w:pPr>
        <w:spacing w:before="100" w:beforeAutospacing="1" w:after="100" w:afterAutospacing="1" w:line="240" w:lineRule="auto"/>
        <w:rPr>
          <w:rFonts w:eastAsia="Times New Roman"/>
          <w:szCs w:val="24"/>
          <w:lang w:eastAsia="es-ES"/>
        </w:rPr>
      </w:pPr>
      <w:r w:rsidRPr="008D64B2">
        <w:rPr>
          <w:rFonts w:eastAsia="Times New Roman"/>
          <w:szCs w:val="24"/>
          <w:lang w:eastAsia="es-ES"/>
        </w:rPr>
        <w:t>https://www.administraciondejusticia.gob.es/paj/publico/ciudadano/servicios/tramites/tasas_judiciales/!ut/p/c5/04_SB8K8xLLM9MSSzPy8xBz9CP0os3gzT1dTz6BgExNjA0szA08vgwBjc0NnAws3M6B8JLJ8qIuJgadxWJhrgIevgYGJATG6DXAAR0K6w0Guxa3C1AxdHtV13ob45UGuB8njcZ-fR35uqn5BbmiEQaanLgCTjhBw/dl3/d3/L2dBISEvZ0FBIS9nQSEh/#</w:t>
      </w:r>
    </w:p>
    <w:p w:rsidR="003E7487" w:rsidRDefault="008D64B2">
      <w:r>
        <w:rPr>
          <w:noProof/>
          <w:lang w:eastAsia="es-ES"/>
        </w:rPr>
        <w:drawing>
          <wp:inline distT="0" distB="0" distL="0" distR="0" wp14:anchorId="0B8BE228" wp14:editId="6C306262">
            <wp:extent cx="5400040" cy="3004185"/>
            <wp:effectExtent l="0" t="0" r="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400040" cy="3004185"/>
                    </a:xfrm>
                    <a:prstGeom prst="rect">
                      <a:avLst/>
                    </a:prstGeom>
                  </pic:spPr>
                </pic:pic>
              </a:graphicData>
            </a:graphic>
          </wp:inline>
        </w:drawing>
      </w:r>
    </w:p>
    <w:sectPr w:rsidR="003E748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327843"/>
    <w:multiLevelType w:val="multilevel"/>
    <w:tmpl w:val="E6028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4B2"/>
    <w:rsid w:val="001F4F49"/>
    <w:rsid w:val="004B26BC"/>
    <w:rsid w:val="008D64B2"/>
    <w:rsid w:val="00C615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B40E4"/>
  <w15:chartTrackingRefBased/>
  <w15:docId w15:val="{F160964B-D084-4E37-89DB-EF3465FBD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1F4F49"/>
    <w:rPr>
      <w:rFonts w:ascii="Times New Roman" w:hAnsi="Times New Roman" w:cs="Times New Roman"/>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8274482">
      <w:bodyDiv w:val="1"/>
      <w:marLeft w:val="0"/>
      <w:marRight w:val="0"/>
      <w:marTop w:val="0"/>
      <w:marBottom w:val="0"/>
      <w:divBdr>
        <w:top w:val="none" w:sz="0" w:space="0" w:color="auto"/>
        <w:left w:val="none" w:sz="0" w:space="0" w:color="auto"/>
        <w:bottom w:val="none" w:sz="0" w:space="0" w:color="auto"/>
        <w:right w:val="none" w:sz="0" w:space="0" w:color="auto"/>
      </w:divBdr>
      <w:divsChild>
        <w:div w:id="1622806383">
          <w:marLeft w:val="0"/>
          <w:marRight w:val="0"/>
          <w:marTop w:val="0"/>
          <w:marBottom w:val="0"/>
          <w:divBdr>
            <w:top w:val="none" w:sz="0" w:space="0" w:color="auto"/>
            <w:left w:val="none" w:sz="0" w:space="0" w:color="auto"/>
            <w:bottom w:val="none" w:sz="0" w:space="0" w:color="auto"/>
            <w:right w:val="none" w:sz="0" w:space="0" w:color="auto"/>
          </w:divBdr>
          <w:divsChild>
            <w:div w:id="2057386116">
              <w:marLeft w:val="0"/>
              <w:marRight w:val="0"/>
              <w:marTop w:val="0"/>
              <w:marBottom w:val="0"/>
              <w:divBdr>
                <w:top w:val="none" w:sz="0" w:space="0" w:color="auto"/>
                <w:left w:val="none" w:sz="0" w:space="0" w:color="auto"/>
                <w:bottom w:val="none" w:sz="0" w:space="0" w:color="auto"/>
                <w:right w:val="none" w:sz="0" w:space="0" w:color="auto"/>
              </w:divBdr>
            </w:div>
            <w:div w:id="132346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610</Words>
  <Characters>3355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Verónica del Carpio</dc:creator>
  <cp:keywords/>
  <dc:description/>
  <cp:lastModifiedBy>Verónica del Carpio</cp:lastModifiedBy>
  <cp:revision>1</cp:revision>
  <dcterms:created xsi:type="dcterms:W3CDTF">2016-08-01T17:16:00Z</dcterms:created>
  <dcterms:modified xsi:type="dcterms:W3CDTF">2016-08-01T17:24:00Z</dcterms:modified>
</cp:coreProperties>
</file>